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A93F" w14:textId="77777777" w:rsidR="0029542B" w:rsidRDefault="0029542B" w:rsidP="0029542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29542B">
        <w:rPr>
          <w:rFonts w:ascii="方正小标宋简体" w:eastAsia="方正小标宋简体" w:hAnsi="仿宋" w:hint="eastAsia"/>
          <w:sz w:val="44"/>
          <w:szCs w:val="44"/>
        </w:rPr>
        <w:t>杭州师范大学</w:t>
      </w:r>
      <w:r>
        <w:rPr>
          <w:rFonts w:ascii="方正小标宋简体" w:eastAsia="方正小标宋简体" w:hAnsi="仿宋" w:hint="eastAsia"/>
          <w:sz w:val="44"/>
          <w:szCs w:val="44"/>
        </w:rPr>
        <w:t>外国语学院</w:t>
      </w:r>
    </w:p>
    <w:p w14:paraId="6C7FAA41" w14:textId="77777777" w:rsidR="0029542B" w:rsidRPr="0029542B" w:rsidRDefault="0029542B" w:rsidP="0029542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29542B">
        <w:rPr>
          <w:rFonts w:ascii="方正小标宋简体" w:eastAsia="方正小标宋简体" w:hAnsi="仿宋" w:hint="eastAsia"/>
          <w:sz w:val="44"/>
          <w:szCs w:val="44"/>
        </w:rPr>
        <w:t>教师</w:t>
      </w:r>
      <w:r>
        <w:rPr>
          <w:rFonts w:ascii="方正小标宋简体" w:eastAsia="方正小标宋简体" w:hAnsi="仿宋" w:hint="eastAsia"/>
          <w:sz w:val="44"/>
          <w:szCs w:val="44"/>
        </w:rPr>
        <w:t>进修资助</w:t>
      </w:r>
      <w:r w:rsidRPr="0029542B">
        <w:rPr>
          <w:rFonts w:ascii="方正小标宋简体" w:eastAsia="方正小标宋简体" w:hAnsi="仿宋" w:hint="eastAsia"/>
          <w:sz w:val="44"/>
          <w:szCs w:val="44"/>
        </w:rPr>
        <w:t>办法</w:t>
      </w:r>
    </w:p>
    <w:p w14:paraId="78B36DAE" w14:textId="77777777" w:rsidR="0029542B" w:rsidRDefault="0029542B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和学院</w:t>
      </w:r>
      <w:r w:rsidRPr="0029542B">
        <w:rPr>
          <w:rFonts w:ascii="仿宋" w:eastAsia="仿宋" w:hAnsi="仿宋"/>
          <w:sz w:val="32"/>
          <w:szCs w:val="32"/>
        </w:rPr>
        <w:t>“十三五”</w:t>
      </w:r>
      <w:r>
        <w:rPr>
          <w:rFonts w:ascii="仿宋" w:eastAsia="仿宋" w:hAnsi="仿宋"/>
          <w:sz w:val="32"/>
          <w:szCs w:val="32"/>
        </w:rPr>
        <w:t>事业发展规划</w:t>
      </w:r>
      <w:r w:rsidRPr="0029542B">
        <w:rPr>
          <w:rFonts w:ascii="仿宋" w:eastAsia="仿宋" w:hAnsi="仿宋"/>
          <w:sz w:val="32"/>
          <w:szCs w:val="32"/>
        </w:rPr>
        <w:t>要求，以学科建设为龙头，进一步加强专业建设，积极优化人才队伍结构，提高师资队伍水平，特制定本办法。</w:t>
      </w:r>
    </w:p>
    <w:p w14:paraId="1683A5F9" w14:textId="77777777" w:rsidR="0029542B" w:rsidRPr="0029542B" w:rsidRDefault="0029542B" w:rsidP="0029542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 w:rsidRPr="0029542B">
        <w:rPr>
          <w:rFonts w:ascii="黑体" w:eastAsia="黑体" w:hAnsi="黑体"/>
          <w:sz w:val="32"/>
          <w:szCs w:val="32"/>
        </w:rPr>
        <w:t xml:space="preserve">基本原则 </w:t>
      </w:r>
    </w:p>
    <w:p w14:paraId="5382FB60" w14:textId="77777777" w:rsidR="0029542B" w:rsidRDefault="0029542B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1.坚持</w:t>
      </w:r>
      <w:r w:rsidR="008643DB">
        <w:rPr>
          <w:rFonts w:ascii="仿宋" w:eastAsia="仿宋" w:hAnsi="仿宋" w:hint="eastAsia"/>
          <w:sz w:val="32"/>
          <w:szCs w:val="32"/>
        </w:rPr>
        <w:t>人才</w:t>
      </w:r>
      <w:r w:rsidRPr="0029542B">
        <w:rPr>
          <w:rFonts w:ascii="仿宋" w:eastAsia="仿宋" w:hAnsi="仿宋"/>
          <w:sz w:val="32"/>
          <w:szCs w:val="32"/>
        </w:rPr>
        <w:t>发展的原则。以“十三五”事</w:t>
      </w:r>
      <w:r w:rsidR="00ED7517">
        <w:rPr>
          <w:rFonts w:ascii="仿宋" w:eastAsia="仿宋" w:hAnsi="仿宋"/>
          <w:sz w:val="32"/>
          <w:szCs w:val="32"/>
        </w:rPr>
        <w:t>业发展规划</w:t>
      </w:r>
      <w:r w:rsidRPr="0029542B">
        <w:rPr>
          <w:rFonts w:ascii="仿宋" w:eastAsia="仿宋" w:hAnsi="仿宋"/>
          <w:sz w:val="32"/>
          <w:szCs w:val="32"/>
        </w:rPr>
        <w:t>为依据，实施“</w:t>
      </w:r>
      <w:r w:rsidR="00ED7517">
        <w:rPr>
          <w:rFonts w:ascii="仿宋" w:eastAsia="仿宋" w:hAnsi="仿宋"/>
          <w:sz w:val="32"/>
          <w:szCs w:val="32"/>
        </w:rPr>
        <w:t>人才强院</w:t>
      </w:r>
      <w:r w:rsidRPr="0029542B">
        <w:rPr>
          <w:rFonts w:ascii="仿宋" w:eastAsia="仿宋" w:hAnsi="仿宋"/>
          <w:sz w:val="32"/>
          <w:szCs w:val="32"/>
        </w:rPr>
        <w:t xml:space="preserve">”战略，优化师资队伍结构，全面提升师资队伍的整体素质。 </w:t>
      </w:r>
    </w:p>
    <w:p w14:paraId="62F27B5F" w14:textId="77777777" w:rsidR="0029542B" w:rsidRDefault="0029542B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2.坚持引育并重的原则。围绕学科发展和师资队伍建设，大力支持校内教师攻读博士学位，</w:t>
      </w:r>
      <w:r w:rsidR="00EC2032">
        <w:rPr>
          <w:rFonts w:ascii="仿宋" w:eastAsia="仿宋" w:hAnsi="仿宋" w:hint="eastAsia"/>
          <w:sz w:val="32"/>
          <w:szCs w:val="32"/>
        </w:rPr>
        <w:t>各系部</w:t>
      </w:r>
      <w:r w:rsidRPr="0029542B">
        <w:rPr>
          <w:rFonts w:ascii="仿宋" w:eastAsia="仿宋" w:hAnsi="仿宋"/>
          <w:sz w:val="32"/>
          <w:szCs w:val="32"/>
        </w:rPr>
        <w:t xml:space="preserve">要积极予以鼓励。 </w:t>
      </w:r>
    </w:p>
    <w:p w14:paraId="0B73E220" w14:textId="77777777" w:rsidR="0029542B" w:rsidRDefault="0029542B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3.坚持</w:t>
      </w:r>
      <w:r w:rsidR="008643DB">
        <w:rPr>
          <w:rFonts w:ascii="仿宋" w:eastAsia="仿宋" w:hAnsi="仿宋" w:hint="eastAsia"/>
          <w:sz w:val="32"/>
          <w:szCs w:val="32"/>
        </w:rPr>
        <w:t>卓越</w:t>
      </w:r>
      <w:r w:rsidRPr="0029542B">
        <w:rPr>
          <w:rFonts w:ascii="仿宋" w:eastAsia="仿宋" w:hAnsi="仿宋"/>
          <w:sz w:val="32"/>
          <w:szCs w:val="32"/>
        </w:rPr>
        <w:t>优先的原则。鼓励教师到国内外著名大学或</w:t>
      </w:r>
      <w:r w:rsidR="00706F56">
        <w:rPr>
          <w:rFonts w:ascii="仿宋" w:eastAsia="仿宋" w:hAnsi="仿宋"/>
          <w:sz w:val="32"/>
          <w:szCs w:val="32"/>
        </w:rPr>
        <w:t>重点研究</w:t>
      </w:r>
      <w:r w:rsidR="00834431">
        <w:rPr>
          <w:rFonts w:ascii="仿宋" w:eastAsia="仿宋" w:hAnsi="仿宋" w:hint="eastAsia"/>
          <w:sz w:val="32"/>
          <w:szCs w:val="32"/>
        </w:rPr>
        <w:t>机构</w:t>
      </w:r>
      <w:r w:rsidR="00706F56">
        <w:rPr>
          <w:rFonts w:ascii="仿宋" w:eastAsia="仿宋" w:hAnsi="仿宋"/>
          <w:sz w:val="32"/>
          <w:szCs w:val="32"/>
        </w:rPr>
        <w:t>攻读博士学位</w:t>
      </w:r>
      <w:r w:rsidR="00706F56">
        <w:rPr>
          <w:rFonts w:ascii="仿宋" w:eastAsia="仿宋" w:hAnsi="仿宋" w:hint="eastAsia"/>
          <w:sz w:val="32"/>
          <w:szCs w:val="32"/>
        </w:rPr>
        <w:t>、</w:t>
      </w:r>
      <w:r w:rsidR="00706F56">
        <w:rPr>
          <w:rFonts w:ascii="仿宋" w:eastAsia="仿宋" w:hAnsi="仿宋"/>
          <w:sz w:val="32"/>
          <w:szCs w:val="32"/>
        </w:rPr>
        <w:t>访学或进行博士后研究</w:t>
      </w:r>
      <w:r w:rsidRPr="0029542B">
        <w:rPr>
          <w:rFonts w:ascii="仿宋" w:eastAsia="仿宋" w:hAnsi="仿宋"/>
          <w:sz w:val="32"/>
          <w:szCs w:val="32"/>
        </w:rPr>
        <w:t xml:space="preserve">。 </w:t>
      </w:r>
    </w:p>
    <w:p w14:paraId="77B6ADB4" w14:textId="77777777" w:rsidR="00AA3285" w:rsidRDefault="00AA3285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4.坚持</w:t>
      </w:r>
      <w:r w:rsidR="0083081A">
        <w:rPr>
          <w:rFonts w:ascii="仿宋" w:eastAsia="仿宋" w:hAnsi="仿宋" w:hint="eastAsia"/>
          <w:sz w:val="32"/>
          <w:szCs w:val="32"/>
        </w:rPr>
        <w:t>助力科研结项的原则。</w:t>
      </w:r>
      <w:r w:rsidR="00834431">
        <w:rPr>
          <w:rFonts w:ascii="仿宋" w:eastAsia="仿宋" w:hAnsi="仿宋" w:hint="eastAsia"/>
          <w:sz w:val="32"/>
          <w:szCs w:val="32"/>
        </w:rPr>
        <w:t>重点</w:t>
      </w:r>
      <w:r w:rsidR="0083081A">
        <w:rPr>
          <w:rFonts w:ascii="仿宋" w:eastAsia="仿宋" w:hAnsi="仿宋" w:hint="eastAsia"/>
          <w:sz w:val="32"/>
          <w:szCs w:val="32"/>
        </w:rPr>
        <w:t>支持</w:t>
      </w:r>
      <w:r w:rsidR="00834431">
        <w:rPr>
          <w:rFonts w:ascii="仿宋" w:eastAsia="仿宋" w:hAnsi="仿宋" w:hint="eastAsia"/>
          <w:sz w:val="32"/>
          <w:szCs w:val="32"/>
        </w:rPr>
        <w:t>承担国家级</w:t>
      </w:r>
      <w:r w:rsidR="0083081A">
        <w:rPr>
          <w:rFonts w:ascii="仿宋" w:eastAsia="仿宋" w:hAnsi="仿宋" w:hint="eastAsia"/>
          <w:sz w:val="32"/>
          <w:szCs w:val="32"/>
        </w:rPr>
        <w:t>科研项目</w:t>
      </w:r>
      <w:r w:rsidR="00834431">
        <w:rPr>
          <w:rFonts w:ascii="仿宋" w:eastAsia="仿宋" w:hAnsi="仿宋" w:hint="eastAsia"/>
          <w:sz w:val="32"/>
          <w:szCs w:val="32"/>
        </w:rPr>
        <w:t>的</w:t>
      </w:r>
      <w:r w:rsidR="0083081A">
        <w:rPr>
          <w:rFonts w:ascii="仿宋" w:eastAsia="仿宋" w:hAnsi="仿宋" w:hint="eastAsia"/>
          <w:sz w:val="32"/>
          <w:szCs w:val="32"/>
        </w:rPr>
        <w:t>教师享受学术假，提高研究效益，保障项目结题率</w:t>
      </w:r>
      <w:r w:rsidR="008643DB">
        <w:rPr>
          <w:rFonts w:ascii="仿宋" w:eastAsia="仿宋" w:hAnsi="仿宋" w:hint="eastAsia"/>
          <w:sz w:val="32"/>
          <w:szCs w:val="32"/>
        </w:rPr>
        <w:t>和优秀率</w:t>
      </w:r>
      <w:r w:rsidR="0083081A">
        <w:rPr>
          <w:rFonts w:ascii="仿宋" w:eastAsia="仿宋" w:hAnsi="仿宋" w:hint="eastAsia"/>
          <w:sz w:val="32"/>
          <w:szCs w:val="32"/>
        </w:rPr>
        <w:t>。</w:t>
      </w:r>
    </w:p>
    <w:p w14:paraId="3632C88E" w14:textId="77777777" w:rsidR="0029542B" w:rsidRPr="0029542B" w:rsidRDefault="00706F56" w:rsidP="0029542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 w:rsidR="0029542B" w:rsidRPr="0029542B">
        <w:rPr>
          <w:rFonts w:ascii="黑体" w:eastAsia="黑体" w:hAnsi="黑体"/>
          <w:sz w:val="32"/>
          <w:szCs w:val="32"/>
        </w:rPr>
        <w:t xml:space="preserve">、政策支持 </w:t>
      </w:r>
    </w:p>
    <w:p w14:paraId="5544B44B" w14:textId="77777777" w:rsidR="0083081A" w:rsidRPr="0083081A" w:rsidRDefault="0029542B" w:rsidP="008308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1.</w:t>
      </w:r>
      <w:r w:rsidR="0083081A" w:rsidRPr="0083081A">
        <w:rPr>
          <w:rFonts w:ascii="仿宋" w:eastAsia="仿宋" w:hAnsi="仿宋" w:hint="eastAsia"/>
          <w:sz w:val="32"/>
          <w:szCs w:val="32"/>
        </w:rPr>
        <w:t>教师攻读博士学位期间，国内博士生每</w:t>
      </w:r>
      <w:r w:rsidR="00EC2032">
        <w:rPr>
          <w:rFonts w:ascii="仿宋" w:eastAsia="仿宋" w:hAnsi="仿宋" w:hint="eastAsia"/>
          <w:sz w:val="32"/>
          <w:szCs w:val="32"/>
        </w:rPr>
        <w:t>学</w:t>
      </w:r>
      <w:r w:rsidR="0083081A" w:rsidRPr="0083081A">
        <w:rPr>
          <w:rFonts w:ascii="仿宋" w:eastAsia="仿宋" w:hAnsi="仿宋" w:hint="eastAsia"/>
          <w:sz w:val="32"/>
          <w:szCs w:val="32"/>
        </w:rPr>
        <w:t>年科研资助</w:t>
      </w:r>
      <w:r w:rsidR="0083081A" w:rsidRPr="0083081A">
        <w:rPr>
          <w:rFonts w:ascii="仿宋" w:eastAsia="仿宋" w:hAnsi="仿宋"/>
          <w:sz w:val="32"/>
          <w:szCs w:val="32"/>
        </w:rPr>
        <w:t>2000</w:t>
      </w:r>
      <w:r w:rsidR="0083081A" w:rsidRPr="0083081A">
        <w:rPr>
          <w:rFonts w:ascii="仿宋" w:eastAsia="仿宋" w:hAnsi="仿宋" w:hint="eastAsia"/>
          <w:sz w:val="32"/>
          <w:szCs w:val="32"/>
        </w:rPr>
        <w:t>元，海外博士生每</w:t>
      </w:r>
      <w:r w:rsidR="00EC2032">
        <w:rPr>
          <w:rFonts w:ascii="仿宋" w:eastAsia="仿宋" w:hAnsi="仿宋" w:hint="eastAsia"/>
          <w:sz w:val="32"/>
          <w:szCs w:val="32"/>
        </w:rPr>
        <w:t>学</w:t>
      </w:r>
      <w:r w:rsidR="0083081A" w:rsidRPr="0083081A">
        <w:rPr>
          <w:rFonts w:ascii="仿宋" w:eastAsia="仿宋" w:hAnsi="仿宋" w:hint="eastAsia"/>
          <w:sz w:val="32"/>
          <w:szCs w:val="32"/>
        </w:rPr>
        <w:t>年科研资助</w:t>
      </w:r>
      <w:r w:rsidR="0083081A" w:rsidRPr="0083081A">
        <w:rPr>
          <w:rFonts w:ascii="仿宋" w:eastAsia="仿宋" w:hAnsi="仿宋"/>
          <w:sz w:val="32"/>
          <w:szCs w:val="32"/>
        </w:rPr>
        <w:t>3000</w:t>
      </w:r>
      <w:r w:rsidR="0083081A" w:rsidRPr="0083081A">
        <w:rPr>
          <w:rFonts w:ascii="仿宋" w:eastAsia="仿宋" w:hAnsi="仿宋" w:hint="eastAsia"/>
          <w:sz w:val="32"/>
          <w:szCs w:val="32"/>
        </w:rPr>
        <w:t>元；青年教师攻读硕士学位期间，国内硕士生每</w:t>
      </w:r>
      <w:r w:rsidR="00EC2032">
        <w:rPr>
          <w:rFonts w:ascii="仿宋" w:eastAsia="仿宋" w:hAnsi="仿宋" w:hint="eastAsia"/>
          <w:sz w:val="32"/>
          <w:szCs w:val="32"/>
        </w:rPr>
        <w:t>学</w:t>
      </w:r>
      <w:r w:rsidR="0083081A" w:rsidRPr="0083081A">
        <w:rPr>
          <w:rFonts w:ascii="仿宋" w:eastAsia="仿宋" w:hAnsi="仿宋" w:hint="eastAsia"/>
          <w:sz w:val="32"/>
          <w:szCs w:val="32"/>
        </w:rPr>
        <w:t>年科研资助</w:t>
      </w:r>
      <w:r w:rsidR="0083081A" w:rsidRPr="0083081A">
        <w:rPr>
          <w:rFonts w:ascii="仿宋" w:eastAsia="仿宋" w:hAnsi="仿宋"/>
          <w:sz w:val="32"/>
          <w:szCs w:val="32"/>
        </w:rPr>
        <w:t>1000</w:t>
      </w:r>
      <w:r w:rsidR="0083081A" w:rsidRPr="0083081A">
        <w:rPr>
          <w:rFonts w:ascii="仿宋" w:eastAsia="仿宋" w:hAnsi="仿宋" w:hint="eastAsia"/>
          <w:sz w:val="32"/>
          <w:szCs w:val="32"/>
        </w:rPr>
        <w:t>元，海外硕士生每</w:t>
      </w:r>
      <w:r w:rsidR="00EC2032">
        <w:rPr>
          <w:rFonts w:ascii="仿宋" w:eastAsia="仿宋" w:hAnsi="仿宋" w:hint="eastAsia"/>
          <w:sz w:val="32"/>
          <w:szCs w:val="32"/>
        </w:rPr>
        <w:t>学</w:t>
      </w:r>
      <w:r w:rsidR="0083081A" w:rsidRPr="0083081A">
        <w:rPr>
          <w:rFonts w:ascii="仿宋" w:eastAsia="仿宋" w:hAnsi="仿宋" w:hint="eastAsia"/>
          <w:sz w:val="32"/>
          <w:szCs w:val="32"/>
        </w:rPr>
        <w:t>年科研资助</w:t>
      </w:r>
      <w:r w:rsidR="0083081A" w:rsidRPr="0083081A">
        <w:rPr>
          <w:rFonts w:ascii="仿宋" w:eastAsia="仿宋" w:hAnsi="仿宋"/>
          <w:sz w:val="32"/>
          <w:szCs w:val="32"/>
        </w:rPr>
        <w:t>2000</w:t>
      </w:r>
      <w:r w:rsidR="0083081A" w:rsidRPr="0083081A">
        <w:rPr>
          <w:rFonts w:ascii="仿宋" w:eastAsia="仿宋" w:hAnsi="仿宋" w:hint="eastAsia"/>
          <w:sz w:val="32"/>
          <w:szCs w:val="32"/>
        </w:rPr>
        <w:t>元。</w:t>
      </w:r>
      <w:r w:rsidR="00DA428E">
        <w:rPr>
          <w:rFonts w:ascii="仿宋" w:eastAsia="仿宋" w:hAnsi="仿宋" w:hint="eastAsia"/>
          <w:sz w:val="32"/>
          <w:szCs w:val="32"/>
        </w:rPr>
        <w:t>攻读学位期间，教师应</w:t>
      </w:r>
      <w:r w:rsidR="00DA428E">
        <w:rPr>
          <w:rFonts w:ascii="仿宋" w:eastAsia="仿宋" w:hAnsi="仿宋" w:hint="eastAsia"/>
          <w:sz w:val="32"/>
          <w:szCs w:val="32"/>
        </w:rPr>
        <w:lastRenderedPageBreak/>
        <w:t>每学年末向院学术委员会</w:t>
      </w:r>
      <w:r w:rsidR="00CD2663">
        <w:rPr>
          <w:rFonts w:ascii="仿宋" w:eastAsia="仿宋" w:hAnsi="仿宋" w:hint="eastAsia"/>
          <w:sz w:val="32"/>
          <w:szCs w:val="32"/>
        </w:rPr>
        <w:t>递交</w:t>
      </w:r>
      <w:r w:rsidR="00DA428E">
        <w:rPr>
          <w:rFonts w:ascii="仿宋" w:eastAsia="仿宋" w:hAnsi="仿宋" w:hint="eastAsia"/>
          <w:sz w:val="32"/>
          <w:szCs w:val="32"/>
        </w:rPr>
        <w:t>学习总结，学院根据院学术委员会</w:t>
      </w:r>
      <w:r w:rsidR="00CD2663">
        <w:rPr>
          <w:rFonts w:ascii="仿宋" w:eastAsia="仿宋" w:hAnsi="仿宋" w:hint="eastAsia"/>
          <w:sz w:val="32"/>
          <w:szCs w:val="32"/>
        </w:rPr>
        <w:t>考核结果</w:t>
      </w:r>
      <w:r w:rsidR="00DA428E">
        <w:rPr>
          <w:rFonts w:ascii="仿宋" w:eastAsia="仿宋" w:hAnsi="仿宋" w:hint="eastAsia"/>
          <w:sz w:val="32"/>
          <w:szCs w:val="32"/>
        </w:rPr>
        <w:t>核发下一学年科研资助，如</w:t>
      </w:r>
      <w:r w:rsidR="00CD2663">
        <w:rPr>
          <w:rFonts w:ascii="仿宋" w:eastAsia="仿宋" w:hAnsi="仿宋" w:hint="eastAsia"/>
          <w:sz w:val="32"/>
          <w:szCs w:val="32"/>
        </w:rPr>
        <w:t>考核</w:t>
      </w:r>
      <w:r w:rsidR="00DA428E">
        <w:rPr>
          <w:rFonts w:ascii="仿宋" w:eastAsia="仿宋" w:hAnsi="仿宋" w:hint="eastAsia"/>
          <w:sz w:val="32"/>
          <w:szCs w:val="32"/>
        </w:rPr>
        <w:t>优秀，可酌情增加科研资助1000-2000元。</w:t>
      </w:r>
    </w:p>
    <w:p w14:paraId="47C590BD" w14:textId="77777777" w:rsidR="00706F56" w:rsidRDefault="0029542B" w:rsidP="009D31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 xml:space="preserve">2.凡不脱产学习的教师，在攻读博士学位期间，可享受教学工作量减免待遇：第一年，减免全部教学工作量；第二年，减免教学工作量定额的 2/3；第三年，减免教学工作量定额的 1/3；第四年起，不再减免教学工作量。 </w:t>
      </w:r>
    </w:p>
    <w:p w14:paraId="014E874B" w14:textId="77777777" w:rsidR="0083081A" w:rsidRPr="0083081A" w:rsidRDefault="0029542B" w:rsidP="008308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3.</w:t>
      </w:r>
      <w:r w:rsidR="0083081A" w:rsidRPr="0083081A">
        <w:rPr>
          <w:rFonts w:ascii="仿宋" w:eastAsia="仿宋" w:hAnsi="仿宋" w:hint="eastAsia"/>
          <w:sz w:val="32"/>
          <w:szCs w:val="32"/>
        </w:rPr>
        <w:t xml:space="preserve"> 教师参加硕士研究生</w:t>
      </w:r>
      <w:r w:rsidR="0083081A">
        <w:rPr>
          <w:rFonts w:ascii="仿宋" w:eastAsia="仿宋" w:hAnsi="仿宋" w:hint="eastAsia"/>
          <w:sz w:val="32"/>
          <w:szCs w:val="32"/>
        </w:rPr>
        <w:t>入学</w:t>
      </w:r>
      <w:r w:rsidR="0083081A" w:rsidRPr="0083081A">
        <w:rPr>
          <w:rFonts w:ascii="仿宋" w:eastAsia="仿宋" w:hAnsi="仿宋" w:hint="eastAsia"/>
          <w:sz w:val="32"/>
          <w:szCs w:val="32"/>
        </w:rPr>
        <w:t>考试，学院报销</w:t>
      </w:r>
      <w:r w:rsidR="0083081A" w:rsidRPr="0083081A">
        <w:rPr>
          <w:rFonts w:ascii="仿宋" w:eastAsia="仿宋" w:hAnsi="仿宋"/>
          <w:sz w:val="32"/>
          <w:szCs w:val="32"/>
        </w:rPr>
        <w:t>300</w:t>
      </w:r>
      <w:r w:rsidR="0083081A" w:rsidRPr="0083081A">
        <w:rPr>
          <w:rFonts w:ascii="仿宋" w:eastAsia="仿宋" w:hAnsi="仿宋" w:hint="eastAsia"/>
          <w:sz w:val="32"/>
          <w:szCs w:val="32"/>
        </w:rPr>
        <w:t>元资料费和参加考试所需差旅费；青年教师参加博士研究生</w:t>
      </w:r>
      <w:r w:rsidR="0083081A">
        <w:rPr>
          <w:rFonts w:ascii="仿宋" w:eastAsia="仿宋" w:hAnsi="仿宋" w:hint="eastAsia"/>
          <w:sz w:val="32"/>
          <w:szCs w:val="32"/>
        </w:rPr>
        <w:t>入学</w:t>
      </w:r>
      <w:r w:rsidR="0083081A" w:rsidRPr="0083081A">
        <w:rPr>
          <w:rFonts w:ascii="仿宋" w:eastAsia="仿宋" w:hAnsi="仿宋" w:hint="eastAsia"/>
          <w:sz w:val="32"/>
          <w:szCs w:val="32"/>
        </w:rPr>
        <w:t>考试，学院报销</w:t>
      </w:r>
      <w:r w:rsidR="0083081A" w:rsidRPr="0083081A">
        <w:rPr>
          <w:rFonts w:ascii="仿宋" w:eastAsia="仿宋" w:hAnsi="仿宋"/>
          <w:sz w:val="32"/>
          <w:szCs w:val="32"/>
        </w:rPr>
        <w:t>500</w:t>
      </w:r>
      <w:r w:rsidR="0083081A" w:rsidRPr="0083081A">
        <w:rPr>
          <w:rFonts w:ascii="仿宋" w:eastAsia="仿宋" w:hAnsi="仿宋" w:hint="eastAsia"/>
          <w:sz w:val="32"/>
          <w:szCs w:val="32"/>
        </w:rPr>
        <w:t>元资料费和参加考试所需差旅费。</w:t>
      </w:r>
    </w:p>
    <w:p w14:paraId="3CA8F98D" w14:textId="77777777" w:rsidR="002046C4" w:rsidRDefault="0029542B" w:rsidP="00F439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4.</w:t>
      </w:r>
      <w:r w:rsidR="002046C4">
        <w:rPr>
          <w:rFonts w:ascii="仿宋" w:eastAsia="仿宋" w:hAnsi="仿宋" w:hint="eastAsia"/>
          <w:sz w:val="32"/>
          <w:szCs w:val="32"/>
        </w:rPr>
        <w:t>经教师个人申请</w:t>
      </w:r>
      <w:r w:rsidR="00535FAA">
        <w:rPr>
          <w:rFonts w:ascii="仿宋" w:eastAsia="仿宋" w:hAnsi="仿宋" w:hint="eastAsia"/>
          <w:sz w:val="32"/>
          <w:szCs w:val="32"/>
        </w:rPr>
        <w:t>，</w:t>
      </w:r>
      <w:r w:rsidR="002046C4">
        <w:rPr>
          <w:rFonts w:ascii="仿宋" w:eastAsia="仿宋" w:hAnsi="仿宋" w:hint="eastAsia"/>
          <w:sz w:val="32"/>
          <w:szCs w:val="32"/>
        </w:rPr>
        <w:t>学院党政联席会议审批后，</w:t>
      </w:r>
      <w:r w:rsidR="002046C4">
        <w:rPr>
          <w:rFonts w:ascii="仿宋" w:eastAsia="仿宋" w:hAnsi="仿宋"/>
          <w:sz w:val="32"/>
          <w:szCs w:val="32"/>
        </w:rPr>
        <w:t>主持国家社科一般项目</w:t>
      </w:r>
      <w:r w:rsidR="00741DD6">
        <w:rPr>
          <w:rFonts w:ascii="仿宋" w:eastAsia="仿宋" w:hAnsi="仿宋" w:hint="eastAsia"/>
          <w:sz w:val="32"/>
          <w:szCs w:val="32"/>
        </w:rPr>
        <w:t>、青年项目</w:t>
      </w:r>
      <w:r w:rsidR="00834431">
        <w:rPr>
          <w:rFonts w:ascii="仿宋" w:eastAsia="仿宋" w:hAnsi="仿宋" w:hint="eastAsia"/>
          <w:sz w:val="32"/>
          <w:szCs w:val="32"/>
        </w:rPr>
        <w:t>的</w:t>
      </w:r>
      <w:r w:rsidR="002046C4">
        <w:rPr>
          <w:rFonts w:ascii="仿宋" w:eastAsia="仿宋" w:hAnsi="仿宋"/>
          <w:sz w:val="32"/>
          <w:szCs w:val="32"/>
        </w:rPr>
        <w:t>教师可享受为期半年</w:t>
      </w:r>
      <w:r w:rsidR="00834431">
        <w:rPr>
          <w:rFonts w:ascii="仿宋" w:eastAsia="仿宋" w:hAnsi="仿宋" w:hint="eastAsia"/>
          <w:sz w:val="32"/>
          <w:szCs w:val="32"/>
        </w:rPr>
        <w:t>的</w:t>
      </w:r>
      <w:r w:rsidR="002046C4">
        <w:rPr>
          <w:rFonts w:ascii="仿宋" w:eastAsia="仿宋" w:hAnsi="仿宋"/>
          <w:sz w:val="32"/>
          <w:szCs w:val="32"/>
        </w:rPr>
        <w:t>院内学术假</w:t>
      </w:r>
      <w:r w:rsidR="002046C4">
        <w:rPr>
          <w:rFonts w:ascii="仿宋" w:eastAsia="仿宋" w:hAnsi="仿宋" w:hint="eastAsia"/>
          <w:sz w:val="32"/>
          <w:szCs w:val="32"/>
        </w:rPr>
        <w:t>，</w:t>
      </w:r>
      <w:r w:rsidR="002046C4">
        <w:rPr>
          <w:rFonts w:ascii="仿宋" w:eastAsia="仿宋" w:hAnsi="仿宋"/>
          <w:sz w:val="32"/>
          <w:szCs w:val="32"/>
        </w:rPr>
        <w:t>主持国家社科重点项目</w:t>
      </w:r>
      <w:r w:rsidR="00834431">
        <w:rPr>
          <w:rFonts w:ascii="仿宋" w:eastAsia="仿宋" w:hAnsi="仿宋" w:hint="eastAsia"/>
          <w:sz w:val="32"/>
          <w:szCs w:val="32"/>
        </w:rPr>
        <w:t>、重大项目的</w:t>
      </w:r>
      <w:r w:rsidR="002046C4">
        <w:rPr>
          <w:rFonts w:ascii="仿宋" w:eastAsia="仿宋" w:hAnsi="仿宋"/>
          <w:sz w:val="32"/>
          <w:szCs w:val="32"/>
        </w:rPr>
        <w:t>教师可享受为期一年的院内学术假</w:t>
      </w:r>
      <w:r w:rsidR="002046C4">
        <w:rPr>
          <w:rFonts w:ascii="仿宋" w:eastAsia="仿宋" w:hAnsi="仿宋" w:hint="eastAsia"/>
          <w:sz w:val="32"/>
          <w:szCs w:val="32"/>
        </w:rPr>
        <w:t>。学术假期间，教师每两个月应向院学术委员会报告研究进度及研究</w:t>
      </w:r>
      <w:r w:rsidR="00DA428E">
        <w:rPr>
          <w:rFonts w:ascii="仿宋" w:eastAsia="仿宋" w:hAnsi="仿宋" w:hint="eastAsia"/>
          <w:sz w:val="32"/>
          <w:szCs w:val="32"/>
        </w:rPr>
        <w:t>成果</w:t>
      </w:r>
      <w:r w:rsidR="00CD2663">
        <w:rPr>
          <w:rFonts w:ascii="仿宋" w:eastAsia="仿宋" w:hAnsi="仿宋" w:hint="eastAsia"/>
          <w:sz w:val="32"/>
          <w:szCs w:val="32"/>
        </w:rPr>
        <w:t>，进修期满向院学术委员会递交</w:t>
      </w:r>
      <w:r w:rsidR="00DA428E">
        <w:rPr>
          <w:rFonts w:ascii="仿宋" w:eastAsia="仿宋" w:hAnsi="仿宋" w:hint="eastAsia"/>
          <w:sz w:val="32"/>
          <w:szCs w:val="32"/>
        </w:rPr>
        <w:t>研究总结</w:t>
      </w:r>
      <w:r w:rsidR="00535FAA">
        <w:rPr>
          <w:rFonts w:ascii="仿宋" w:eastAsia="仿宋" w:hAnsi="仿宋" w:hint="eastAsia"/>
          <w:sz w:val="32"/>
          <w:szCs w:val="32"/>
        </w:rPr>
        <w:t>。教师院内学术假期间教学、科研基本工作量参照教师访学标准。享受学术假后</w:t>
      </w:r>
      <w:r w:rsidR="002046C4">
        <w:rPr>
          <w:rFonts w:ascii="仿宋" w:eastAsia="仿宋" w:hAnsi="仿宋" w:hint="eastAsia"/>
          <w:sz w:val="32"/>
          <w:szCs w:val="32"/>
        </w:rPr>
        <w:t>仍未按期结项的教师，</w:t>
      </w:r>
      <w:r w:rsidR="00535FAA">
        <w:rPr>
          <w:rFonts w:ascii="仿宋" w:eastAsia="仿宋" w:hAnsi="仿宋" w:hint="eastAsia"/>
          <w:sz w:val="32"/>
          <w:szCs w:val="32"/>
        </w:rPr>
        <w:t>次年教学基本工作量</w:t>
      </w:r>
      <w:r w:rsidR="003578C4">
        <w:rPr>
          <w:rFonts w:ascii="仿宋" w:eastAsia="仿宋" w:hAnsi="仿宋" w:hint="eastAsia"/>
          <w:sz w:val="32"/>
          <w:szCs w:val="32"/>
        </w:rPr>
        <w:t>在原教学基本工作量的基础上增加上一年度减免教学基本工作量的50%。</w:t>
      </w:r>
    </w:p>
    <w:p w14:paraId="397A5DA2" w14:textId="1586EA02" w:rsidR="00706F56" w:rsidRDefault="002046C4" w:rsidP="00F63A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2046C4">
        <w:rPr>
          <w:rFonts w:ascii="仿宋" w:eastAsia="仿宋" w:hAnsi="仿宋" w:hint="eastAsia"/>
          <w:sz w:val="32"/>
          <w:szCs w:val="32"/>
        </w:rPr>
        <w:t xml:space="preserve"> 经教师个人申请</w:t>
      </w:r>
      <w:r w:rsidR="00535FAA">
        <w:rPr>
          <w:rFonts w:ascii="仿宋" w:eastAsia="仿宋" w:hAnsi="仿宋" w:hint="eastAsia"/>
          <w:sz w:val="32"/>
          <w:szCs w:val="32"/>
        </w:rPr>
        <w:t>，</w:t>
      </w:r>
      <w:r w:rsidRPr="002046C4">
        <w:rPr>
          <w:rFonts w:ascii="仿宋" w:eastAsia="仿宋" w:hAnsi="仿宋" w:hint="eastAsia"/>
          <w:sz w:val="32"/>
          <w:szCs w:val="32"/>
        </w:rPr>
        <w:t>学院党政联席会议审批后，</w:t>
      </w:r>
      <w:r>
        <w:rPr>
          <w:rFonts w:ascii="仿宋" w:eastAsia="仿宋" w:hAnsi="仿宋" w:hint="eastAsia"/>
          <w:sz w:val="32"/>
          <w:szCs w:val="32"/>
        </w:rPr>
        <w:t>在学院工作量安排允许的情况下，鼓励</w:t>
      </w:r>
      <w:r w:rsidR="00637FF0">
        <w:rPr>
          <w:rFonts w:ascii="仿宋" w:eastAsia="仿宋" w:hAnsi="仿宋" w:hint="eastAsia"/>
          <w:sz w:val="32"/>
          <w:szCs w:val="32"/>
        </w:rPr>
        <w:t>教学科研型</w:t>
      </w:r>
      <w:r w:rsidR="00F439EE">
        <w:rPr>
          <w:rFonts w:ascii="仿宋" w:eastAsia="仿宋" w:hAnsi="仿宋"/>
          <w:sz w:val="32"/>
          <w:szCs w:val="32"/>
        </w:rPr>
        <w:t>教师到国内外高水平大学进行</w:t>
      </w:r>
      <w:r>
        <w:rPr>
          <w:rFonts w:ascii="仿宋" w:eastAsia="仿宋" w:hAnsi="仿宋"/>
          <w:sz w:val="32"/>
          <w:szCs w:val="32"/>
        </w:rPr>
        <w:t>为期半年或一年的</w:t>
      </w:r>
      <w:r>
        <w:rPr>
          <w:rFonts w:ascii="仿宋" w:eastAsia="仿宋" w:hAnsi="仿宋" w:hint="eastAsia"/>
          <w:sz w:val="32"/>
          <w:szCs w:val="32"/>
        </w:rPr>
        <w:t>访学、</w:t>
      </w:r>
      <w:r>
        <w:rPr>
          <w:rFonts w:ascii="仿宋" w:eastAsia="仿宋" w:hAnsi="仿宋"/>
          <w:sz w:val="32"/>
          <w:szCs w:val="32"/>
        </w:rPr>
        <w:t>博士后研究</w:t>
      </w:r>
      <w:r w:rsidR="00637FF0">
        <w:rPr>
          <w:rFonts w:ascii="仿宋" w:eastAsia="仿宋" w:hAnsi="仿宋" w:hint="eastAsia"/>
          <w:sz w:val="32"/>
          <w:szCs w:val="32"/>
        </w:rPr>
        <w:t>，优先</w:t>
      </w:r>
      <w:r w:rsidR="00637FF0">
        <w:rPr>
          <w:rFonts w:ascii="仿宋" w:eastAsia="仿宋" w:hAnsi="仿宋" w:hint="eastAsia"/>
          <w:sz w:val="32"/>
          <w:szCs w:val="32"/>
        </w:rPr>
        <w:lastRenderedPageBreak/>
        <w:t>支持国外访学</w:t>
      </w:r>
      <w:r w:rsidR="00CD2663">
        <w:rPr>
          <w:rFonts w:ascii="仿宋" w:eastAsia="仿宋" w:hAnsi="仿宋" w:hint="eastAsia"/>
          <w:sz w:val="32"/>
          <w:szCs w:val="32"/>
        </w:rPr>
        <w:t>或者为攻读博士学位做准备的国内访学</w:t>
      </w:r>
      <w:r w:rsidR="00637FF0">
        <w:rPr>
          <w:rFonts w:ascii="仿宋" w:eastAsia="仿宋" w:hAnsi="仿宋" w:hint="eastAsia"/>
          <w:sz w:val="32"/>
          <w:szCs w:val="32"/>
        </w:rPr>
        <w:t>；鼓励</w:t>
      </w:r>
      <w:r w:rsidR="00834431">
        <w:rPr>
          <w:rFonts w:ascii="仿宋" w:eastAsia="仿宋" w:hAnsi="仿宋" w:hint="eastAsia"/>
          <w:sz w:val="32"/>
          <w:szCs w:val="32"/>
        </w:rPr>
        <w:t>教学型</w:t>
      </w:r>
      <w:r w:rsidR="00F439EE">
        <w:rPr>
          <w:rFonts w:ascii="仿宋" w:eastAsia="仿宋" w:hAnsi="仿宋"/>
          <w:sz w:val="32"/>
          <w:szCs w:val="32"/>
        </w:rPr>
        <w:t>教师</w:t>
      </w:r>
      <w:r w:rsidR="00F439EE">
        <w:rPr>
          <w:rFonts w:ascii="仿宋" w:eastAsia="仿宋" w:hAnsi="仿宋" w:hint="eastAsia"/>
          <w:sz w:val="32"/>
          <w:szCs w:val="32"/>
        </w:rPr>
        <w:t>，</w:t>
      </w:r>
      <w:r w:rsidR="00F439EE">
        <w:rPr>
          <w:rFonts w:ascii="仿宋" w:eastAsia="仿宋" w:hAnsi="仿宋"/>
          <w:sz w:val="32"/>
          <w:szCs w:val="32"/>
        </w:rPr>
        <w:t>在个人已有学术</w:t>
      </w:r>
      <w:r w:rsidR="00EC2032">
        <w:rPr>
          <w:rFonts w:ascii="仿宋" w:eastAsia="仿宋" w:hAnsi="仿宋" w:hint="eastAsia"/>
          <w:sz w:val="32"/>
          <w:szCs w:val="32"/>
        </w:rPr>
        <w:t>外语</w:t>
      </w:r>
      <w:r w:rsidR="00F439EE">
        <w:rPr>
          <w:rFonts w:ascii="仿宋" w:eastAsia="仿宋" w:hAnsi="仿宋" w:hint="eastAsia"/>
          <w:sz w:val="32"/>
          <w:szCs w:val="32"/>
        </w:rPr>
        <w:t>、</w:t>
      </w:r>
      <w:r w:rsidR="00834431">
        <w:rPr>
          <w:rFonts w:ascii="仿宋" w:eastAsia="仿宋" w:hAnsi="仿宋" w:hint="eastAsia"/>
          <w:sz w:val="32"/>
          <w:szCs w:val="32"/>
        </w:rPr>
        <w:t>行业</w:t>
      </w:r>
      <w:r w:rsidR="00EC2032">
        <w:rPr>
          <w:rFonts w:ascii="仿宋" w:eastAsia="仿宋" w:hAnsi="仿宋" w:hint="eastAsia"/>
          <w:sz w:val="32"/>
          <w:szCs w:val="32"/>
        </w:rPr>
        <w:t>外语</w:t>
      </w:r>
      <w:r w:rsidR="00834431">
        <w:rPr>
          <w:rFonts w:ascii="仿宋" w:eastAsia="仿宋" w:hAnsi="仿宋" w:hint="eastAsia"/>
          <w:sz w:val="32"/>
          <w:szCs w:val="32"/>
        </w:rPr>
        <w:t>、通识课</w:t>
      </w:r>
      <w:r w:rsidR="00F439EE">
        <w:rPr>
          <w:rFonts w:ascii="仿宋" w:eastAsia="仿宋" w:hAnsi="仿宋" w:hint="eastAsia"/>
          <w:sz w:val="32"/>
          <w:szCs w:val="32"/>
        </w:rPr>
        <w:t>教学实践与研究的基础上，到国内外高水平大学进行访学</w:t>
      </w:r>
      <w:r w:rsidR="00637FF0">
        <w:rPr>
          <w:rFonts w:ascii="仿宋" w:eastAsia="仿宋" w:hAnsi="仿宋" w:hint="eastAsia"/>
          <w:sz w:val="32"/>
          <w:szCs w:val="32"/>
        </w:rPr>
        <w:t>或到政府部门、企业挂职，</w:t>
      </w:r>
      <w:r w:rsidR="00F439EE">
        <w:rPr>
          <w:rFonts w:ascii="仿宋" w:eastAsia="仿宋" w:hAnsi="仿宋" w:hint="eastAsia"/>
          <w:sz w:val="32"/>
          <w:szCs w:val="32"/>
        </w:rPr>
        <w:t>为向双师型教师转型做好学术准备</w:t>
      </w:r>
      <w:r>
        <w:rPr>
          <w:rFonts w:ascii="仿宋" w:eastAsia="仿宋" w:hAnsi="仿宋" w:hint="eastAsia"/>
          <w:sz w:val="32"/>
          <w:szCs w:val="32"/>
        </w:rPr>
        <w:t>。访学</w:t>
      </w:r>
      <w:r w:rsidR="00834431">
        <w:rPr>
          <w:rFonts w:ascii="仿宋" w:eastAsia="仿宋" w:hAnsi="仿宋" w:hint="eastAsia"/>
          <w:sz w:val="32"/>
          <w:szCs w:val="32"/>
        </w:rPr>
        <w:t>或挂职</w:t>
      </w:r>
      <w:r w:rsidRPr="002046C4">
        <w:rPr>
          <w:rFonts w:ascii="仿宋" w:eastAsia="仿宋" w:hAnsi="仿宋" w:hint="eastAsia"/>
          <w:sz w:val="32"/>
          <w:szCs w:val="32"/>
        </w:rPr>
        <w:t>期间</w:t>
      </w:r>
      <w:r w:rsidR="00373E6E">
        <w:rPr>
          <w:rFonts w:ascii="仿宋" w:eastAsia="仿宋" w:hAnsi="仿宋" w:hint="eastAsia"/>
          <w:sz w:val="32"/>
          <w:szCs w:val="32"/>
        </w:rPr>
        <w:t>，教师每两个月应向院</w:t>
      </w:r>
      <w:r w:rsidR="00DA428E">
        <w:rPr>
          <w:rFonts w:ascii="仿宋" w:eastAsia="仿宋" w:hAnsi="仿宋" w:hint="eastAsia"/>
          <w:sz w:val="32"/>
          <w:szCs w:val="32"/>
        </w:rPr>
        <w:t>学术</w:t>
      </w:r>
      <w:r w:rsidRPr="002046C4">
        <w:rPr>
          <w:rFonts w:ascii="仿宋" w:eastAsia="仿宋" w:hAnsi="仿宋" w:hint="eastAsia"/>
          <w:sz w:val="32"/>
          <w:szCs w:val="32"/>
        </w:rPr>
        <w:t>委员会报告</w:t>
      </w:r>
      <w:r>
        <w:rPr>
          <w:rFonts w:ascii="仿宋" w:eastAsia="仿宋" w:hAnsi="仿宋" w:hint="eastAsia"/>
          <w:sz w:val="32"/>
          <w:szCs w:val="32"/>
        </w:rPr>
        <w:t>学习</w:t>
      </w:r>
      <w:r w:rsidR="00DA428E">
        <w:rPr>
          <w:rFonts w:ascii="仿宋" w:eastAsia="仿宋" w:hAnsi="仿宋" w:hint="eastAsia"/>
          <w:sz w:val="32"/>
          <w:szCs w:val="32"/>
        </w:rPr>
        <w:t>、挂职</w:t>
      </w:r>
      <w:r w:rsidR="00637FF0">
        <w:rPr>
          <w:rFonts w:ascii="仿宋" w:eastAsia="仿宋" w:hAnsi="仿宋" w:hint="eastAsia"/>
          <w:sz w:val="32"/>
          <w:szCs w:val="32"/>
        </w:rPr>
        <w:t>情况</w:t>
      </w:r>
      <w:r w:rsidR="00DA428E">
        <w:rPr>
          <w:rFonts w:ascii="仿宋" w:eastAsia="仿宋" w:hAnsi="仿宋" w:hint="eastAsia"/>
          <w:sz w:val="32"/>
          <w:szCs w:val="32"/>
        </w:rPr>
        <w:t>，进修期满</w:t>
      </w:r>
      <w:r w:rsidR="00CD2663">
        <w:rPr>
          <w:rFonts w:ascii="仿宋" w:eastAsia="仿宋" w:hAnsi="仿宋" w:hint="eastAsia"/>
          <w:sz w:val="32"/>
          <w:szCs w:val="32"/>
        </w:rPr>
        <w:t>向院学术委员会递交</w:t>
      </w:r>
      <w:r w:rsidR="00DA428E">
        <w:rPr>
          <w:rFonts w:ascii="仿宋" w:eastAsia="仿宋" w:hAnsi="仿宋" w:hint="eastAsia"/>
          <w:sz w:val="32"/>
          <w:szCs w:val="32"/>
        </w:rPr>
        <w:t>学习</w:t>
      </w:r>
      <w:r w:rsidR="00741DD6">
        <w:rPr>
          <w:rFonts w:ascii="仿宋" w:eastAsia="仿宋" w:hAnsi="仿宋" w:hint="eastAsia"/>
          <w:sz w:val="32"/>
          <w:szCs w:val="32"/>
        </w:rPr>
        <w:t>总结和课程研修证明或</w:t>
      </w:r>
      <w:bookmarkStart w:id="0" w:name="_GoBack"/>
      <w:bookmarkEnd w:id="0"/>
      <w:r w:rsidR="00DA428E">
        <w:rPr>
          <w:rFonts w:ascii="仿宋" w:eastAsia="仿宋" w:hAnsi="仿宋" w:hint="eastAsia"/>
          <w:sz w:val="32"/>
          <w:szCs w:val="32"/>
        </w:rPr>
        <w:t>挂职总结</w:t>
      </w:r>
      <w:r w:rsidR="00741DD6">
        <w:rPr>
          <w:rFonts w:ascii="仿宋" w:eastAsia="仿宋" w:hAnsi="仿宋" w:hint="eastAsia"/>
          <w:sz w:val="32"/>
          <w:szCs w:val="32"/>
        </w:rPr>
        <w:t>，适当的时候在系部、研究所或学院内分享进修成果</w:t>
      </w:r>
      <w:r w:rsidRPr="002046C4">
        <w:rPr>
          <w:rFonts w:ascii="仿宋" w:eastAsia="仿宋" w:hAnsi="仿宋" w:hint="eastAsia"/>
          <w:sz w:val="32"/>
          <w:szCs w:val="32"/>
        </w:rPr>
        <w:t>。</w:t>
      </w:r>
    </w:p>
    <w:p w14:paraId="2666D2C4" w14:textId="77777777" w:rsidR="00706F56" w:rsidRPr="00706F56" w:rsidRDefault="00706F56" w:rsidP="0029542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6F56">
        <w:rPr>
          <w:rFonts w:ascii="黑体" w:eastAsia="黑体" w:hAnsi="黑体"/>
          <w:sz w:val="32"/>
          <w:szCs w:val="32"/>
        </w:rPr>
        <w:t>三</w:t>
      </w:r>
      <w:r w:rsidR="0029542B" w:rsidRPr="00706F56">
        <w:rPr>
          <w:rFonts w:ascii="黑体" w:eastAsia="黑体" w:hAnsi="黑体"/>
          <w:sz w:val="32"/>
          <w:szCs w:val="32"/>
        </w:rPr>
        <w:t xml:space="preserve">、其他说明 </w:t>
      </w:r>
    </w:p>
    <w:p w14:paraId="51B0648C" w14:textId="77777777" w:rsidR="0083081A" w:rsidRDefault="0029542B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1.</w:t>
      </w:r>
      <w:r w:rsidR="00655951">
        <w:rPr>
          <w:rFonts w:ascii="仿宋" w:eastAsia="仿宋" w:hAnsi="仿宋"/>
          <w:sz w:val="32"/>
          <w:szCs w:val="32"/>
        </w:rPr>
        <w:t>教师</w:t>
      </w:r>
      <w:r w:rsidR="00655951">
        <w:rPr>
          <w:rFonts w:ascii="仿宋" w:eastAsia="仿宋" w:hAnsi="仿宋" w:hint="eastAsia"/>
          <w:sz w:val="32"/>
          <w:szCs w:val="32"/>
        </w:rPr>
        <w:t>各类</w:t>
      </w:r>
      <w:r w:rsidR="00655951">
        <w:rPr>
          <w:rFonts w:ascii="仿宋" w:eastAsia="仿宋" w:hAnsi="仿宋"/>
          <w:sz w:val="32"/>
          <w:szCs w:val="32"/>
        </w:rPr>
        <w:t>进修</w:t>
      </w:r>
      <w:r w:rsidRPr="0029542B">
        <w:rPr>
          <w:rFonts w:ascii="仿宋" w:eastAsia="仿宋" w:hAnsi="仿宋"/>
          <w:sz w:val="32"/>
          <w:szCs w:val="32"/>
        </w:rPr>
        <w:t>其基本条件</w:t>
      </w:r>
      <w:r w:rsidR="00535FAA">
        <w:rPr>
          <w:rFonts w:ascii="仿宋" w:eastAsia="仿宋" w:hAnsi="仿宋" w:hint="eastAsia"/>
          <w:sz w:val="32"/>
          <w:szCs w:val="32"/>
        </w:rPr>
        <w:t>、</w:t>
      </w:r>
      <w:r w:rsidR="00655951">
        <w:rPr>
          <w:rFonts w:ascii="仿宋" w:eastAsia="仿宋" w:hAnsi="仿宋"/>
          <w:sz w:val="32"/>
          <w:szCs w:val="32"/>
        </w:rPr>
        <w:t>申请办理程序</w:t>
      </w:r>
      <w:r w:rsidR="00535FAA">
        <w:rPr>
          <w:rFonts w:ascii="仿宋" w:eastAsia="仿宋" w:hAnsi="仿宋"/>
          <w:sz w:val="32"/>
          <w:szCs w:val="32"/>
        </w:rPr>
        <w:t>及管理</w:t>
      </w:r>
      <w:r w:rsidRPr="0029542B">
        <w:rPr>
          <w:rFonts w:ascii="仿宋" w:eastAsia="仿宋" w:hAnsi="仿宋"/>
          <w:sz w:val="32"/>
          <w:szCs w:val="32"/>
        </w:rPr>
        <w:t>应符合《杭州师范大学教职工进修管理办法》（杭师大人〔2015〕7 号）。</w:t>
      </w:r>
    </w:p>
    <w:p w14:paraId="770E234D" w14:textId="77777777" w:rsidR="0042488E" w:rsidRDefault="0029542B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542B">
        <w:rPr>
          <w:rFonts w:ascii="仿宋" w:eastAsia="仿宋" w:hAnsi="仿宋"/>
          <w:sz w:val="32"/>
          <w:szCs w:val="32"/>
        </w:rPr>
        <w:t>2.本办法自发布之日起施行，由</w:t>
      </w:r>
      <w:r w:rsidR="00706F56">
        <w:rPr>
          <w:rFonts w:ascii="仿宋" w:eastAsia="仿宋" w:hAnsi="仿宋" w:hint="eastAsia"/>
          <w:sz w:val="32"/>
          <w:szCs w:val="32"/>
        </w:rPr>
        <w:t>外国语学院</w:t>
      </w:r>
      <w:r w:rsidR="00706F56">
        <w:rPr>
          <w:rFonts w:ascii="仿宋" w:eastAsia="仿宋" w:hAnsi="仿宋"/>
          <w:sz w:val="32"/>
          <w:szCs w:val="32"/>
        </w:rPr>
        <w:t>党政联席会议</w:t>
      </w:r>
      <w:r w:rsidRPr="0029542B">
        <w:rPr>
          <w:rFonts w:ascii="仿宋" w:eastAsia="仿宋" w:hAnsi="仿宋"/>
          <w:sz w:val="32"/>
          <w:szCs w:val="32"/>
        </w:rPr>
        <w:t>负责解释。</w:t>
      </w:r>
    </w:p>
    <w:p w14:paraId="746D3602" w14:textId="77777777" w:rsidR="00706F56" w:rsidRDefault="00706F56" w:rsidP="0029542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CBDE071" w14:textId="77777777" w:rsidR="00706F56" w:rsidRDefault="00706F56" w:rsidP="00706F5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杭州师范大学外国语学院</w:t>
      </w:r>
    </w:p>
    <w:p w14:paraId="3B581050" w14:textId="77777777" w:rsidR="00706F56" w:rsidRPr="00706F56" w:rsidRDefault="00706F56" w:rsidP="00706F56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2018年11月</w:t>
      </w:r>
    </w:p>
    <w:sectPr w:rsidR="00706F56" w:rsidRPr="00706F56" w:rsidSect="00C25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F088" w14:textId="77777777" w:rsidR="00BB1082" w:rsidRDefault="00BB1082" w:rsidP="008643DB">
      <w:r>
        <w:separator/>
      </w:r>
    </w:p>
  </w:endnote>
  <w:endnote w:type="continuationSeparator" w:id="0">
    <w:p w14:paraId="01AE6202" w14:textId="77777777" w:rsidR="00BB1082" w:rsidRDefault="00BB1082" w:rsidP="0086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E41A1" w14:textId="77777777" w:rsidR="00BB1082" w:rsidRDefault="00BB1082" w:rsidP="008643DB">
      <w:r>
        <w:separator/>
      </w:r>
    </w:p>
  </w:footnote>
  <w:footnote w:type="continuationSeparator" w:id="0">
    <w:p w14:paraId="2B05803B" w14:textId="77777777" w:rsidR="00BB1082" w:rsidRDefault="00BB1082" w:rsidP="0086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721"/>
    <w:multiLevelType w:val="hybridMultilevel"/>
    <w:tmpl w:val="DECCE6C6"/>
    <w:lvl w:ilvl="0" w:tplc="6194FC18">
      <w:start w:val="1"/>
      <w:numFmt w:val="japaneseCounting"/>
      <w:lvlText w:val="%1、"/>
      <w:lvlJc w:val="left"/>
      <w:pPr>
        <w:ind w:left="15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333"/>
    <w:rsid w:val="002046C4"/>
    <w:rsid w:val="00257333"/>
    <w:rsid w:val="0029542B"/>
    <w:rsid w:val="003578C4"/>
    <w:rsid w:val="00365C51"/>
    <w:rsid w:val="00373E6E"/>
    <w:rsid w:val="0042488E"/>
    <w:rsid w:val="00535FAA"/>
    <w:rsid w:val="00637FF0"/>
    <w:rsid w:val="00655951"/>
    <w:rsid w:val="00706F56"/>
    <w:rsid w:val="0073698C"/>
    <w:rsid w:val="00741DD6"/>
    <w:rsid w:val="007E6122"/>
    <w:rsid w:val="0083081A"/>
    <w:rsid w:val="00834431"/>
    <w:rsid w:val="008643DB"/>
    <w:rsid w:val="009D319B"/>
    <w:rsid w:val="00A45FBE"/>
    <w:rsid w:val="00AA3285"/>
    <w:rsid w:val="00BB1082"/>
    <w:rsid w:val="00C2512C"/>
    <w:rsid w:val="00C40F83"/>
    <w:rsid w:val="00CD2663"/>
    <w:rsid w:val="00D444BE"/>
    <w:rsid w:val="00DA1658"/>
    <w:rsid w:val="00DA428E"/>
    <w:rsid w:val="00EC2032"/>
    <w:rsid w:val="00ED7517"/>
    <w:rsid w:val="00F439EE"/>
    <w:rsid w:val="00F6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69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2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4431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4431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43D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4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2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4431"/>
    <w:rPr>
      <w:rFonts w:ascii="Heiti SC Light" w:eastAsia="Heiti SC Light"/>
      <w:sz w:val="18"/>
      <w:szCs w:val="18"/>
    </w:rPr>
  </w:style>
  <w:style w:type="character" w:customStyle="1" w:styleId="Char">
    <w:name w:val="批注框文本字符"/>
    <w:basedOn w:val="a0"/>
    <w:link w:val="a4"/>
    <w:uiPriority w:val="99"/>
    <w:semiHidden/>
    <w:rsid w:val="00834431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194</Words>
  <Characters>1107</Characters>
  <Application>Microsoft Office Word</Application>
  <DocSecurity>0</DocSecurity>
  <Lines>9</Lines>
  <Paragraphs>2</Paragraphs>
  <ScaleCrop>false</ScaleCrop>
  <Company>微软中国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18</cp:revision>
  <dcterms:created xsi:type="dcterms:W3CDTF">2018-10-29T23:51:00Z</dcterms:created>
  <dcterms:modified xsi:type="dcterms:W3CDTF">2018-11-12T05:34:00Z</dcterms:modified>
</cp:coreProperties>
</file>