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DotumChe" w:eastAsia="黑体"/>
          <w:bCs/>
          <w:sz w:val="32"/>
          <w:szCs w:val="32"/>
        </w:rPr>
      </w:pPr>
      <w:r>
        <w:rPr>
          <w:rFonts w:hint="eastAsia" w:ascii="黑体" w:hAnsi="DotumChe" w:eastAsia="黑体"/>
          <w:bCs/>
          <w:sz w:val="32"/>
          <w:szCs w:val="32"/>
        </w:rPr>
        <w:t>附件1</w:t>
      </w:r>
    </w:p>
    <w:p>
      <w:pPr>
        <w:adjustRightInd w:val="0"/>
        <w:snapToGrid w:val="0"/>
        <w:rPr>
          <w:rFonts w:hint="eastAsia" w:ascii="黑体" w:hAnsi="DotumChe" w:eastAsia="黑体"/>
          <w:bCs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DotumChe" w:eastAsia="方正小标宋简体"/>
          <w:bCs/>
          <w:sz w:val="44"/>
          <w:szCs w:val="44"/>
        </w:rPr>
      </w:pPr>
      <w:r>
        <w:rPr>
          <w:rFonts w:hint="eastAsia" w:ascii="方正小标宋简体" w:hAnsi="DotumChe" w:eastAsia="方正小标宋简体"/>
          <w:bCs/>
          <w:sz w:val="44"/>
          <w:szCs w:val="44"/>
        </w:rPr>
        <w:t>杭州师范大学第二十</w:t>
      </w:r>
      <w:r>
        <w:rPr>
          <w:rFonts w:hint="eastAsia" w:ascii="方正小标宋简体" w:hAnsi="DotumChe" w:eastAsia="方正小标宋简体"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DotumChe" w:eastAsia="方正小标宋简体"/>
          <w:bCs/>
          <w:sz w:val="44"/>
          <w:szCs w:val="44"/>
        </w:rPr>
        <w:t>届学生思想政治理论课优秀论文竞赛参考选题指南</w:t>
      </w:r>
    </w:p>
    <w:p>
      <w:pPr>
        <w:spacing w:line="440" w:lineRule="exact"/>
        <w:jc w:val="center"/>
        <w:rPr>
          <w:rFonts w:hint="eastAsia" w:ascii="黑体" w:hAnsi="DotumChe" w:eastAsia="黑体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1.习近平总书记人才观研究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2.习近平总书记传统文化观研究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3.习近平总书记扶贫观研究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4.习近平总书记时代观研究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5.习近平总书记历史观研究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6.习近平总书记大局观研究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7.习近平新时代文化思想研究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8.习近平新时代生态文明思想研究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9.习近平总书记教育思想研究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Cs/>
          <w:sz w:val="30"/>
          <w:szCs w:val="30"/>
        </w:rPr>
        <w:t>10.习近平总书记在纪念改革开放四十周年大会上的讲话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精神研究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11.习近平关于青年问题及当代大学生发展的相关论述研究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12.人类命运共同体的构建与新型国际关系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13.“四个全面”战略布局研究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14.新时代社会主要矛盾变化的重要意义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15.中国特色社会主义道路的形成和发展研究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16.建国七十年来中国发展成就的国际影响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17.建国七十年来中国工业化与现代化进程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－ 6 －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18.建国七十年来中国的城市化道路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19.中华人民共共和国的制度设计与七十年来中国政治进程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20.建国七十年与民族复兴伟大中国梦的推进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21.建国七十年来中美关系回顾与展望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22.建国七十年来党的建设的历程与经验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23.建国七十年来杭州城市社会生活的变迁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24.改革开放四十年家乡的变化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25.改革开放四十年的集体记忆研究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26.改革开放四十年的伟大成就和宝贵经验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27.党的十一届三中全会的历史地位与意义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28.五四运动与中国共产党的成立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29.从五四运动看大学生爱国主义精神的培育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30.重温五四精神，做新时代的好青年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31.中国共产党革命精神研究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32.《甲申三百年祭》与中国共产党的作风建设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33.中国共产党战胜国民党创建新中国的历史经验与启示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34.建国初期党的工作重心从农村转移到城市的历程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35.党的七届二中全会的历史意义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36.必须坚持以人民为中心的发展思想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37.实事求是是中国共产党人的根本思想方法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38.论真理与价值的辩证关系及其实践意义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39.坚持历史唯物主主义，树立正确史观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40.马克思的幸福观及其时代意蕴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41.红船精神研究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42.红色文化传承与发展研究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43.家风家训培育研究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44.社会主义核心价值观与中华优秀传统文化的辩证关系研究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45.工匠精神、劳模精神与企业家精神的关系研究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46.推进社会公德、职业道德、家庭美德、个人品德建设研究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47.创新意识、创新人才培养与建设创新型国家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48.中美贸易摩擦之我见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49.反腐败工作新思路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50.海峡两岸关系新探讨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51.马克思主义宗教观教育调研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52.网络环境下高校学风建设机制研究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53.大学校园文化品牌建设研究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54.高校学生党建工作新思路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55.新时代学生基层党组织建设创新研究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56.大学精神与大学生精神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57.批判精神与大学生活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58.新媒体时代大学生网络意见表达与正向引导研究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59.大学生对习近平新时代中国特色社会主义思想的理解和认知研究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60.历史虚无主义在当代大学生中的主要表现及对策思考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61.新时代大学生的获得感、幸福感研究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－ 8 －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新时代大学生的生活心态及其引导研究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63.提高大学生法治素养的机制研究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64.大学生学习马克思主义态度的调研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65.大学生阅读马克思主义著作的调研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66.中国青年马克思主义信仰问题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67.大学生对当今中国热点问题关注度的调查分析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68.新时代大学生“中国梦·我的梦”情况调查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69.新时代大学生基层党建情况调查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70.新时代大学生专业技能学习情况调查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71.大学生对健康中国战略认知状况研究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72.大学生对中国乡村振兴战略认知研究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73.大学生获知重大时政新闻途径研究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74.大学生对网络道德认知研究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75.大学生纪律意识调研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76.大学生对中国精神认知研究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77.大学生文化消费观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78.大学生追星热背后的冷思考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79.大学时期创业与学业的关系辨析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80.大学生就业价值取向变化特点及引导研究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81.美丽乡村建设研究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82.文化礼堂调研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83.从养狗看和谐社会构建一一以杭州市为例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－ 9 －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84.网红现象研究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85.当前杭州市垃圾分类实施情况的调查分析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86.杭州市教育培训机构发展情况调查分析（外语、中小学等）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87.独生子女父母养老问题研究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88.提升思政工作实效性的探讨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89.改革开放伟大成就融入学生思想政治教育研究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90.新时代加强大学生马克思主义信仰教育的研究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91.教育引导大学生树立“四个正确认识”长效机制研究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92.新时代增强青年大学生国家意识和爱国精神研究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93.大学生社会主义核心价值观的培育与践行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94.2018 年版马克思主义理论研究和建设工程重点教材《概论》使用情况的调查与研究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95.2018 年版马克思主义理论研究和建设工程重点教材《纲要》使用情况的调查与研究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96.2018 年版马克思主义理论研究和建设工程重点教材《原理》使用情况的调查与研究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97.2018 年版马克思主义理论研究和建设工程重点教材《思修》使用情况的调查与研究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98.思政课教学状况的调研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99.浙江高校课程思政课开设情况调研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100.新媒体环境中高校《形势与政策》课教育实效性研究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F1452"/>
    <w:multiLevelType w:val="singleLevel"/>
    <w:tmpl w:val="706F1452"/>
    <w:lvl w:ilvl="0" w:tentative="0">
      <w:start w:val="6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6B"/>
    <w:rsid w:val="00961AC5"/>
    <w:rsid w:val="00AF2453"/>
    <w:rsid w:val="00BF32F2"/>
    <w:rsid w:val="00F7486B"/>
    <w:rsid w:val="044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305</Words>
  <Characters>1739</Characters>
  <Lines>14</Lines>
  <Paragraphs>4</Paragraphs>
  <TotalTime>11</TotalTime>
  <ScaleCrop>false</ScaleCrop>
  <LinksUpToDate>false</LinksUpToDate>
  <CharactersWithSpaces>2040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2018-03-04T02:51:00Z</dcterms:created>
  <dc:creator>a001</dc:creator>
  <cp:lastModifiedBy>Administrator</cp:lastModifiedBy>
  <dcterms:modified xsi:type="dcterms:W3CDTF">2018-12-25T02:26:17Z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